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12D3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14:paraId="1C03E1C8">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谦和公寓、竞秀公寓、新教学楼、新宿舍楼隐形防护网、不锈钢保险窗安装项目</w:t>
      </w:r>
      <w:r>
        <w:rPr>
          <w:rFonts w:hint="eastAsia" w:ascii="宋体" w:hAnsi="宋体" w:eastAsia="宋体" w:cs="宋体"/>
          <w:b/>
          <w:sz w:val="44"/>
          <w:szCs w:val="44"/>
        </w:rPr>
        <w:t>合同</w:t>
      </w:r>
    </w:p>
    <w:p w14:paraId="497376A4">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LZX-AB-GC-2024-033</w:t>
      </w:r>
    </w:p>
    <w:p w14:paraId="0AD80AA0">
      <w:pPr>
        <w:pStyle w:val="41"/>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12CAEE84">
      <w:pPr>
        <w:pStyle w:val="41"/>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19AF6417">
      <w:pPr>
        <w:pStyle w:val="41"/>
        <w:ind w:firstLine="640"/>
        <w:rPr>
          <w:rFonts w:hint="eastAsia" w:ascii="宋体" w:hAnsi="宋体" w:eastAsia="宋体" w:cs="宋体"/>
          <w:sz w:val="28"/>
          <w:szCs w:val="28"/>
        </w:rPr>
      </w:pPr>
    </w:p>
    <w:p w14:paraId="54688DD2">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依照《中华人民共和国民法典》及其相关法律、行政法规，遵循平等、自愿、公平和诚实信用的原则，双方就本建设项目施工事项协商一致，订立本合同。</w:t>
      </w:r>
    </w:p>
    <w:p w14:paraId="380CFF77">
      <w:pPr>
        <w:pStyle w:val="41"/>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445CADBC">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项目名称：泸州市职业技术学校谦和公寓、竞秀公寓、新教学楼、新宿舍楼隐形防护网、不锈钢保险窗安装项目</w:t>
      </w:r>
    </w:p>
    <w:p w14:paraId="01B9E62B">
      <w:pPr>
        <w:pStyle w:val="41"/>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14:paraId="54877853">
      <w:pPr>
        <w:pStyle w:val="41"/>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14:paraId="02DE2DE5">
      <w:pPr>
        <w:pStyle w:val="2"/>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项目清单附后</w:t>
      </w:r>
    </w:p>
    <w:p w14:paraId="470BE9E6">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58931696">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58668769">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2024年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0CDA936F">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15</w:t>
      </w:r>
      <w:r>
        <w:rPr>
          <w:rFonts w:hint="eastAsia" w:ascii="宋体" w:hAnsi="宋体" w:eastAsia="宋体" w:cs="宋体"/>
          <w:sz w:val="28"/>
          <w:szCs w:val="28"/>
          <w:u w:val="single"/>
        </w:rPr>
        <w:t xml:space="preserve"> </w:t>
      </w:r>
      <w:r>
        <w:rPr>
          <w:rFonts w:hint="eastAsia" w:ascii="宋体" w:hAnsi="宋体" w:eastAsia="宋体" w:cs="宋体"/>
          <w:sz w:val="28"/>
          <w:szCs w:val="28"/>
        </w:rPr>
        <w:t>天。工期总日历天数与根据前述计划开竣工日期计算的工期天数不一致的，以工期总日历天数为准。</w:t>
      </w:r>
    </w:p>
    <w:p w14:paraId="3B8B3518">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14:paraId="2DB10286">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14:paraId="6F3E083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1.符合国家、行业有关施工验收规范及甲方现场负责人提出的质量要求。</w:t>
      </w:r>
    </w:p>
    <w:p w14:paraId="480320C9">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5D896230">
      <w:pPr>
        <w:pStyle w:val="41"/>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1.质保期为验收合格后</w:t>
      </w:r>
      <w:r>
        <w:rPr>
          <w:rFonts w:hint="eastAsia" w:ascii="宋体" w:hAnsi="宋体" w:eastAsia="宋体" w:cs="宋体"/>
          <w:sz w:val="28"/>
          <w:szCs w:val="28"/>
          <w:lang w:val="en-US" w:eastAsia="zh-CN"/>
        </w:rPr>
        <w:t>一年</w:t>
      </w:r>
      <w:r>
        <w:rPr>
          <w:rFonts w:hint="eastAsia" w:ascii="宋体" w:hAnsi="宋体" w:eastAsia="宋体" w:cs="宋体"/>
          <w:sz w:val="28"/>
          <w:szCs w:val="28"/>
        </w:rPr>
        <w:t>，质保期内出现质量问题，乙方在接到通知后24小时内响应到场，48小时内完成维修或更换，并承担修理调换的费用；</w:t>
      </w:r>
    </w:p>
    <w:p w14:paraId="4EAA26EA">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64BB7455">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color w:val="FF0000"/>
          <w:sz w:val="28"/>
          <w:szCs w:val="28"/>
        </w:rPr>
        <w:t>1.乙方完</w:t>
      </w:r>
      <w:r>
        <w:rPr>
          <w:rFonts w:hint="eastAsia" w:ascii="宋体" w:hAnsi="宋体" w:eastAsia="宋体" w:cs="宋体"/>
          <w:color w:val="FF0000"/>
          <w:kern w:val="2"/>
          <w:sz w:val="28"/>
          <w:szCs w:val="28"/>
          <w:lang w:val="en-US" w:eastAsia="zh-CN" w:bidi="ar-SA"/>
        </w:rPr>
        <w:t>成泸州市职业技术学校谦和公寓、竞秀公寓、新教学楼、新宿舍楼隐形防护网、不锈钢保险窗安装项目所有工作，</w:t>
      </w:r>
      <w:r>
        <w:rPr>
          <w:rFonts w:hint="eastAsia" w:ascii="宋体" w:hAnsi="宋体" w:eastAsia="宋体" w:cs="宋体"/>
          <w:color w:val="FF0000"/>
          <w:sz w:val="28"/>
          <w:szCs w:val="28"/>
        </w:rPr>
        <w:t>甲方</w:t>
      </w:r>
      <w:r>
        <w:rPr>
          <w:rFonts w:hint="eastAsia" w:ascii="宋体" w:hAnsi="宋体" w:cs="宋体"/>
          <w:color w:val="FF0000"/>
          <w:sz w:val="28"/>
          <w:szCs w:val="28"/>
          <w:lang w:eastAsia="zh-CN"/>
        </w:rPr>
        <w:t>将委托第三方进行项目结算审计，按照审计金额</w:t>
      </w:r>
      <w:r>
        <w:rPr>
          <w:rFonts w:hint="eastAsia" w:ascii="宋体" w:hAnsi="宋体" w:eastAsia="宋体" w:cs="宋体"/>
          <w:color w:val="FF0000"/>
          <w:sz w:val="28"/>
          <w:szCs w:val="28"/>
        </w:rPr>
        <w:t>乙方</w:t>
      </w:r>
      <w:r>
        <w:rPr>
          <w:rFonts w:hint="eastAsia" w:ascii="宋体" w:hAnsi="宋体" w:cs="宋体"/>
          <w:color w:val="FF0000"/>
          <w:sz w:val="28"/>
          <w:szCs w:val="28"/>
          <w:lang w:eastAsia="zh-CN"/>
        </w:rPr>
        <w:t>出具有效的</w:t>
      </w:r>
      <w:r>
        <w:rPr>
          <w:rFonts w:hint="eastAsia" w:ascii="宋体" w:hAnsi="宋体" w:eastAsia="宋体" w:cs="宋体"/>
          <w:color w:val="FF0000"/>
          <w:sz w:val="28"/>
          <w:szCs w:val="28"/>
        </w:rPr>
        <w:t>票据凭证资料以后的</w:t>
      </w:r>
      <w:r>
        <w:rPr>
          <w:rFonts w:hint="eastAsia" w:ascii="宋体" w:hAnsi="宋体" w:eastAsia="宋体" w:cs="宋体"/>
          <w:color w:val="FF0000"/>
          <w:sz w:val="28"/>
          <w:szCs w:val="28"/>
          <w:u w:val="single"/>
          <w:lang w:val="en-US" w:eastAsia="zh-CN"/>
        </w:rPr>
        <w:t>60</w:t>
      </w:r>
      <w:r>
        <w:rPr>
          <w:rFonts w:hint="eastAsia" w:ascii="宋体" w:hAnsi="宋体" w:eastAsia="宋体" w:cs="宋体"/>
          <w:color w:val="FF0000"/>
          <w:sz w:val="28"/>
          <w:szCs w:val="28"/>
          <w:u w:val="single"/>
        </w:rPr>
        <w:t>个工作日</w:t>
      </w:r>
      <w:r>
        <w:rPr>
          <w:rFonts w:hint="eastAsia" w:ascii="宋体" w:hAnsi="宋体" w:eastAsia="宋体" w:cs="宋体"/>
          <w:color w:val="FF0000"/>
          <w:sz w:val="28"/>
          <w:szCs w:val="28"/>
        </w:rPr>
        <w:t>内支付</w:t>
      </w:r>
      <w:r>
        <w:rPr>
          <w:rFonts w:hint="eastAsia" w:ascii="宋体" w:hAnsi="宋体" w:cs="宋体"/>
          <w:color w:val="FF0000"/>
          <w:sz w:val="28"/>
          <w:szCs w:val="28"/>
          <w:lang w:eastAsia="zh-CN"/>
        </w:rPr>
        <w:t>合同</w:t>
      </w:r>
      <w:r>
        <w:rPr>
          <w:rFonts w:hint="eastAsia" w:ascii="宋体" w:hAnsi="宋体" w:eastAsia="宋体" w:cs="宋体"/>
          <w:color w:val="FF0000"/>
          <w:sz w:val="28"/>
          <w:szCs w:val="28"/>
        </w:rPr>
        <w:t>金额的</w:t>
      </w:r>
      <w:r>
        <w:rPr>
          <w:rFonts w:hint="eastAsia" w:ascii="宋体" w:hAnsi="宋体" w:eastAsia="宋体" w:cs="宋体"/>
          <w:color w:val="FF0000"/>
          <w:sz w:val="28"/>
          <w:szCs w:val="28"/>
          <w:u w:val="single"/>
          <w:lang w:val="en-US" w:eastAsia="zh-CN"/>
        </w:rPr>
        <w:t xml:space="preserve">  </w:t>
      </w:r>
      <w:r>
        <w:rPr>
          <w:rFonts w:hint="eastAsia" w:ascii="宋体" w:hAnsi="宋体" w:cs="宋体"/>
          <w:color w:val="FF0000"/>
          <w:sz w:val="28"/>
          <w:szCs w:val="28"/>
          <w:u w:val="single"/>
          <w:lang w:val="en-US" w:eastAsia="zh-CN"/>
        </w:rPr>
        <w:t>97</w:t>
      </w:r>
      <w:r>
        <w:rPr>
          <w:rFonts w:hint="eastAsia" w:ascii="宋体" w:hAnsi="宋体" w:eastAsia="宋体" w:cs="宋体"/>
          <w:color w:val="FF0000"/>
          <w:sz w:val="28"/>
          <w:szCs w:val="28"/>
          <w:u w:val="single"/>
        </w:rPr>
        <w:t>%</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u w:val="none"/>
          <w:lang w:eastAsia="zh-CN"/>
        </w:rPr>
        <w:t>款项</w:t>
      </w:r>
      <w:r>
        <w:rPr>
          <w:rFonts w:hint="eastAsia" w:ascii="宋体" w:hAnsi="宋体" w:eastAsia="宋体" w:cs="宋体"/>
          <w:color w:val="FF0000"/>
          <w:sz w:val="28"/>
          <w:szCs w:val="28"/>
        </w:rPr>
        <w:t>，</w:t>
      </w:r>
      <w:r>
        <w:rPr>
          <w:rFonts w:hint="eastAsia" w:ascii="宋体" w:hAnsi="宋体" w:cs="宋体"/>
          <w:color w:val="FF0000"/>
          <w:sz w:val="28"/>
          <w:szCs w:val="28"/>
          <w:lang w:eastAsia="zh-CN"/>
        </w:rPr>
        <w:t>剩余合同金额的</w:t>
      </w:r>
      <w:r>
        <w:rPr>
          <w:rFonts w:hint="eastAsia" w:ascii="宋体" w:hAnsi="宋体" w:cs="宋体"/>
          <w:color w:val="FF0000"/>
          <w:sz w:val="28"/>
          <w:szCs w:val="28"/>
          <w:u w:val="single"/>
          <w:lang w:val="en-US" w:eastAsia="zh-CN"/>
        </w:rPr>
        <w:t xml:space="preserve"> 3% </w:t>
      </w:r>
      <w:r>
        <w:rPr>
          <w:rFonts w:hint="eastAsia" w:ascii="宋体" w:hAnsi="宋体" w:cs="宋体"/>
          <w:color w:val="FF0000"/>
          <w:sz w:val="28"/>
          <w:szCs w:val="28"/>
          <w:u w:val="none"/>
          <w:lang w:val="en-US" w:eastAsia="zh-CN"/>
        </w:rPr>
        <w:t>保修期过后无息支付，</w:t>
      </w:r>
      <w:r>
        <w:rPr>
          <w:rFonts w:hint="eastAsia" w:ascii="宋体" w:hAnsi="宋体" w:eastAsia="宋体" w:cs="宋体"/>
          <w:color w:val="FF0000"/>
          <w:sz w:val="28"/>
          <w:szCs w:val="28"/>
        </w:rPr>
        <w:t>合同总</w:t>
      </w:r>
      <w:r>
        <w:rPr>
          <w:rFonts w:hint="eastAsia" w:ascii="宋体" w:hAnsi="宋体" w:cs="宋体"/>
          <w:color w:val="FF0000"/>
          <w:sz w:val="28"/>
          <w:szCs w:val="28"/>
          <w:lang w:eastAsia="zh-CN"/>
        </w:rPr>
        <w:t>金额</w:t>
      </w:r>
      <w:r>
        <w:rPr>
          <w:rFonts w:hint="eastAsia" w:ascii="宋体" w:hAnsi="宋体" w:eastAsia="宋体" w:cs="宋体"/>
          <w:color w:val="FF0000"/>
          <w:sz w:val="28"/>
          <w:szCs w:val="28"/>
        </w:rPr>
        <w:t>：￥</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元，人民币大写：</w:t>
      </w:r>
      <w:r>
        <w:rPr>
          <w:rFonts w:hint="eastAsia" w:ascii="宋体" w:hAnsi="宋体" w:eastAsia="宋体" w:cs="宋体"/>
          <w:color w:val="FF0000"/>
          <w:sz w:val="28"/>
          <w:szCs w:val="28"/>
          <w:u w:val="single"/>
          <w:lang w:val="en-US" w:eastAsia="zh-CN"/>
        </w:rPr>
        <w:t xml:space="preserve">         </w:t>
      </w:r>
      <w:r>
        <w:rPr>
          <w:rFonts w:hint="eastAsia" w:ascii="宋体" w:hAnsi="宋体" w:eastAsia="宋体" w:cs="宋体"/>
          <w:color w:val="FF0000"/>
          <w:sz w:val="28"/>
          <w:szCs w:val="28"/>
          <w:lang w:val="en-US" w:eastAsia="zh-CN"/>
        </w:rPr>
        <w:t>整</w:t>
      </w:r>
      <w:r>
        <w:rPr>
          <w:rFonts w:hint="eastAsia" w:ascii="宋体" w:hAnsi="宋体" w:eastAsia="宋体" w:cs="宋体"/>
          <w:color w:val="FF0000"/>
          <w:sz w:val="28"/>
          <w:szCs w:val="28"/>
        </w:rPr>
        <w:t xml:space="preserve">  。</w:t>
      </w:r>
    </w:p>
    <w:p w14:paraId="0297F8B4">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firstLine="840" w:firstLineChars="3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25A03A6E">
      <w:pPr>
        <w:pStyle w:val="41"/>
        <w:spacing w:line="560" w:lineRule="exact"/>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kern w:val="2"/>
          <w:sz w:val="28"/>
          <w:szCs w:val="28"/>
          <w:lang w:val="en-US" w:eastAsia="zh-CN" w:bidi="ar-SA"/>
        </w:rPr>
        <w:t>超出项目清单工程内容需甲乙双方共同书面确认后，乙方开具相应发票，超出部分由甲方直接支付给乙方指定账户。</w:t>
      </w:r>
    </w:p>
    <w:p w14:paraId="2511350C">
      <w:pPr>
        <w:pStyle w:val="41"/>
        <w:spacing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.乙方须向甲方出具合法有效完整的完税发票及凭证资料进行支付结算。</w:t>
      </w:r>
    </w:p>
    <w:p w14:paraId="2EE154F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1254867A">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14:paraId="5E6AFC1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1.乙方所用的安装所需材料必须为合格产品。</w:t>
      </w:r>
    </w:p>
    <w:p w14:paraId="2332373D">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7C1AAFA9">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14:paraId="3E9569A2">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14:paraId="6295EB21">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14:paraId="73D1E48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14:paraId="621AC518">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14:paraId="019DCB36">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5D47268F">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1DE9939E">
      <w:pPr>
        <w:pStyle w:val="5"/>
        <w:spacing w:after="0" w:line="560" w:lineRule="exact"/>
        <w:ind w:left="0" w:leftChars="0" w:firstLine="560" w:firstLineChars="200"/>
        <w:rPr>
          <w:rFonts w:hint="default" w:ascii="宋体" w:hAnsi="宋体" w:eastAsia="宋体" w:cs="宋体"/>
          <w:color w:val="FF0000"/>
          <w:sz w:val="28"/>
          <w:szCs w:val="28"/>
          <w:lang w:val="en-US" w:eastAsia="zh-CN"/>
        </w:rPr>
      </w:pPr>
      <w:r>
        <w:rPr>
          <w:rFonts w:hint="eastAsia" w:ascii="宋体" w:hAnsi="宋体" w:cs="宋体"/>
          <w:sz w:val="28"/>
          <w:szCs w:val="28"/>
          <w:lang w:val="en-US" w:eastAsia="zh-CN"/>
        </w:rPr>
        <w:t>2.</w:t>
      </w:r>
      <w:r>
        <w:rPr>
          <w:rFonts w:hint="eastAsia" w:ascii="宋体" w:hAnsi="宋体" w:cs="宋体"/>
          <w:color w:val="FF0000"/>
          <w:sz w:val="28"/>
          <w:szCs w:val="28"/>
          <w:lang w:val="en-US" w:eastAsia="zh-CN"/>
        </w:rPr>
        <w:t>乙方未在规定工期内完工的，按照合同总金额的3</w:t>
      </w:r>
      <w:r>
        <w:rPr>
          <w:rFonts w:hint="default" w:ascii="宋体" w:hAnsi="宋体" w:cs="宋体"/>
          <w:color w:val="FF0000"/>
          <w:sz w:val="28"/>
          <w:szCs w:val="28"/>
          <w:lang w:val="en-US" w:eastAsia="zh-CN"/>
        </w:rPr>
        <w:t>‰</w:t>
      </w:r>
      <w:r>
        <w:rPr>
          <w:rFonts w:hint="eastAsia" w:ascii="宋体" w:hAnsi="宋体" w:cs="宋体"/>
          <w:color w:val="FF0000"/>
          <w:sz w:val="28"/>
          <w:szCs w:val="28"/>
          <w:lang w:val="en-US" w:eastAsia="zh-CN"/>
        </w:rPr>
        <w:t>/1天，计算违约金。</w:t>
      </w:r>
    </w:p>
    <w:p w14:paraId="1503DABA">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.按本合同规定应偿付的违约金、赔偿金和各种经济损失，应当在明确责任后10天内，以转帐或现金结算方式付清。</w:t>
      </w:r>
    </w:p>
    <w:p w14:paraId="32A3A886">
      <w:pPr>
        <w:pStyle w:val="2"/>
        <w:spacing w:line="560" w:lineRule="exact"/>
        <w:ind w:firstLine="560" w:firstLineChars="200"/>
        <w:rPr>
          <w:rFonts w:hint="eastAsia" w:ascii="宋体" w:hAnsi="宋体" w:eastAsia="宋体" w:cs="宋体"/>
          <w:sz w:val="28"/>
          <w:szCs w:val="28"/>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7C3EEB4B">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58DC7F9A">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5A27DC39">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0F304CCF">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rPr>
        <w:t>.甲方未向乙方付清本合同所有款项之前，产品所有权归乙方。</w:t>
      </w:r>
    </w:p>
    <w:p w14:paraId="75CD2169">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14:paraId="22C2A57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1.除正常质量保修外，甲乙双方履行合同文件的全部义务，乙方向甲方承诺按照合同约定进行施工、竣工并在质量保修期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内承担项目质量保修责任；甲方向乙方承诺按照合同约定的期限和方式支付合同价款及其他应当支付的款项。</w:t>
      </w:r>
    </w:p>
    <w:p w14:paraId="1A6BAA9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2.甲方交付竣工项目，项目款支付完毕甲乙双方无争议后，本合同即告终止。</w:t>
      </w:r>
    </w:p>
    <w:p w14:paraId="336CB8F6">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4913C0A0">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14:paraId="5004C0A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766862A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5531CBB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07FFC424">
      <w:pPr>
        <w:pStyle w:val="3"/>
        <w:wordWrap/>
        <w:spacing w:before="0" w:after="0" w:line="560" w:lineRule="exact"/>
        <w:ind w:left="0" w:right="0" w:firstLine="200"/>
        <w:rPr>
          <w:rFonts w:hint="eastAsia" w:ascii="宋体" w:hAnsi="宋体" w:eastAsia="宋体" w:cs="宋体"/>
          <w:sz w:val="28"/>
          <w:szCs w:val="28"/>
        </w:rPr>
      </w:pPr>
    </w:p>
    <w:p w14:paraId="4B8B09E5">
      <w:pPr>
        <w:spacing w:line="320" w:lineRule="exact"/>
        <w:rPr>
          <w:rFonts w:hint="eastAsia" w:ascii="宋体" w:hAnsi="宋体" w:eastAsia="宋体" w:cs="宋体"/>
          <w:sz w:val="28"/>
          <w:szCs w:val="28"/>
        </w:rPr>
      </w:pPr>
    </w:p>
    <w:p w14:paraId="20878F25">
      <w:pPr>
        <w:spacing w:line="320" w:lineRule="exact"/>
        <w:rPr>
          <w:rFonts w:hint="eastAsia" w:ascii="宋体" w:hAnsi="宋体" w:eastAsia="宋体" w:cs="宋体"/>
          <w:sz w:val="28"/>
          <w:szCs w:val="28"/>
        </w:rPr>
      </w:pPr>
    </w:p>
    <w:p w14:paraId="1677AA92">
      <w:pPr>
        <w:spacing w:line="320" w:lineRule="exact"/>
        <w:rPr>
          <w:rFonts w:hint="eastAsia" w:ascii="宋体" w:hAnsi="宋体" w:eastAsia="宋体" w:cs="宋体"/>
          <w:sz w:val="28"/>
          <w:szCs w:val="28"/>
        </w:rPr>
      </w:pPr>
    </w:p>
    <w:p w14:paraId="16323954">
      <w:pPr>
        <w:spacing w:line="320" w:lineRule="exact"/>
        <w:rPr>
          <w:rFonts w:hint="eastAsia" w:ascii="宋体" w:hAnsi="宋体" w:eastAsia="宋体" w:cs="宋体"/>
          <w:sz w:val="28"/>
          <w:szCs w:val="28"/>
        </w:rPr>
      </w:pPr>
    </w:p>
    <w:p w14:paraId="47D6A67F">
      <w:pPr>
        <w:spacing w:line="320" w:lineRule="exact"/>
        <w:rPr>
          <w:rFonts w:hint="eastAsia" w:ascii="宋体" w:hAnsi="宋体" w:eastAsia="宋体" w:cs="宋体"/>
          <w:sz w:val="28"/>
          <w:szCs w:val="28"/>
        </w:rPr>
      </w:pPr>
    </w:p>
    <w:p w14:paraId="7C2B57C5">
      <w:pPr>
        <w:spacing w:line="320" w:lineRule="exact"/>
        <w:rPr>
          <w:rFonts w:hint="eastAsia" w:ascii="宋体" w:hAnsi="宋体" w:eastAsia="宋体" w:cs="宋体"/>
          <w:sz w:val="28"/>
          <w:szCs w:val="28"/>
        </w:rPr>
      </w:pPr>
    </w:p>
    <w:p w14:paraId="064B395D">
      <w:pPr>
        <w:spacing w:line="320" w:lineRule="exact"/>
        <w:rPr>
          <w:rFonts w:hint="eastAsia" w:ascii="宋体" w:hAnsi="宋体" w:eastAsia="宋体" w:cs="宋体"/>
          <w:sz w:val="28"/>
          <w:szCs w:val="28"/>
        </w:rPr>
      </w:pPr>
    </w:p>
    <w:p w14:paraId="683E93A2">
      <w:pPr>
        <w:spacing w:line="320" w:lineRule="exact"/>
        <w:rPr>
          <w:rFonts w:hint="eastAsia" w:ascii="宋体" w:hAnsi="宋体" w:eastAsia="宋体" w:cs="宋体"/>
          <w:sz w:val="28"/>
          <w:szCs w:val="28"/>
        </w:rPr>
      </w:pPr>
    </w:p>
    <w:p w14:paraId="3F23DB21">
      <w:pPr>
        <w:spacing w:line="320" w:lineRule="exact"/>
        <w:rPr>
          <w:rFonts w:hint="eastAsia" w:ascii="宋体" w:hAnsi="宋体" w:eastAsia="宋体" w:cs="宋体"/>
          <w:sz w:val="28"/>
          <w:szCs w:val="28"/>
        </w:rPr>
      </w:pPr>
    </w:p>
    <w:p w14:paraId="535193DB">
      <w:pPr>
        <w:spacing w:line="320" w:lineRule="exact"/>
        <w:rPr>
          <w:rFonts w:hint="eastAsia" w:ascii="宋体" w:hAnsi="宋体" w:eastAsia="宋体" w:cs="宋体"/>
          <w:sz w:val="28"/>
          <w:szCs w:val="28"/>
        </w:rPr>
      </w:pPr>
    </w:p>
    <w:p w14:paraId="6D5DC0A2">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4425BA30">
      <w:pPr>
        <w:spacing w:line="320" w:lineRule="exact"/>
        <w:rPr>
          <w:rFonts w:hint="eastAsia" w:ascii="宋体" w:hAnsi="宋体" w:eastAsia="宋体" w:cs="宋体"/>
          <w:sz w:val="28"/>
          <w:szCs w:val="28"/>
        </w:rPr>
      </w:pPr>
    </w:p>
    <w:p w14:paraId="6007BF56">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6BD5C605">
      <w:pPr>
        <w:spacing w:line="320" w:lineRule="exact"/>
        <w:rPr>
          <w:rFonts w:hint="eastAsia" w:ascii="宋体" w:hAnsi="宋体" w:eastAsia="宋体" w:cs="宋体"/>
          <w:sz w:val="28"/>
          <w:szCs w:val="28"/>
        </w:rPr>
      </w:pPr>
    </w:p>
    <w:p w14:paraId="14377F89">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0179D5BD">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6A4DF003">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14:paraId="22806250">
      <w:pPr>
        <w:spacing w:line="320" w:lineRule="exact"/>
        <w:rPr>
          <w:rFonts w:hint="eastAsia" w:ascii="宋体" w:hAnsi="宋体" w:eastAsia="宋体" w:cs="宋体"/>
          <w:sz w:val="28"/>
          <w:szCs w:val="28"/>
          <w:lang w:val="en-US" w:eastAsia="zh-CN"/>
        </w:rPr>
      </w:pPr>
    </w:p>
    <w:p w14:paraId="15D88ABA">
      <w:pPr>
        <w:spacing w:line="320" w:lineRule="exact"/>
        <w:ind w:left="6400" w:hanging="5600" w:hangingChars="2000"/>
        <w:rPr>
          <w:rFonts w:hint="eastAsia" w:ascii="宋体" w:hAnsi="宋体" w:eastAsia="宋体" w:cs="宋体"/>
          <w:sz w:val="28"/>
          <w:szCs w:val="28"/>
        </w:rPr>
      </w:pPr>
    </w:p>
    <w:p w14:paraId="52A44962">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448F6902">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2609D249">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52A28637">
      <w:pPr>
        <w:spacing w:line="560" w:lineRule="exact"/>
        <w:rPr>
          <w:rFonts w:hint="eastAsia"/>
          <w:lang w:val="en-US" w:eastAsia="zh-CN"/>
        </w:rPr>
      </w:pPr>
      <w:r>
        <w:rPr>
          <w:rFonts w:hint="eastAsia" w:ascii="宋体" w:hAnsi="宋体" w:eastAsia="宋体" w:cs="宋体"/>
          <w:sz w:val="28"/>
          <w:szCs w:val="28"/>
          <w:lang w:val="en-US" w:eastAsia="zh-CN"/>
        </w:rPr>
        <w:t>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签约日期：2024年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bookmarkStart w:id="1" w:name="_GoBack"/>
      <w:bookmarkEnd w:id="1"/>
    </w:p>
    <w:sectPr>
      <w:headerReference r:id="rId3" w:type="default"/>
      <w:footerReference r:id="rId4" w:type="default"/>
      <w:pgSz w:w="11906" w:h="16838"/>
      <w:pgMar w:top="1361"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82613B8B-31B8-4825-BC03-98D90166A87D}"/>
  </w:font>
  <w:font w:name="方正小标宋简体">
    <w:panose1 w:val="02000000000000000000"/>
    <w:charset w:val="86"/>
    <w:family w:val="script"/>
    <w:pitch w:val="default"/>
    <w:sig w:usb0="00000001" w:usb1="08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4D4A9">
    <w:pPr>
      <w:pStyle w:val="6"/>
      <w:jc w:val="center"/>
    </w:pPr>
    <w:r>
      <w:fldChar w:fldCharType="begin"/>
    </w:r>
    <w:r>
      <w:instrText xml:space="preserve">PAGE   \* MERGEFORMAT</w:instrText>
    </w:r>
    <w:r>
      <w:fldChar w:fldCharType="separate"/>
    </w:r>
    <w:r>
      <w:rPr>
        <w:lang w:val="zh-CN"/>
      </w:rPr>
      <w:t>7</w:t>
    </w:r>
    <w:r>
      <w:fldChar w:fldCharType="end"/>
    </w:r>
  </w:p>
  <w:p w14:paraId="6DA501D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5BDF9">
    <w:pPr>
      <w:pStyle w:val="7"/>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mFlODU4YmU1MTYyYTc4MWIyMWNiMTZkNWQzZTkifQ=="/>
  </w:docVars>
  <w:rsids>
    <w:rsidRoot w:val="00000000"/>
    <w:rsid w:val="02A13E16"/>
    <w:rsid w:val="09C64F0A"/>
    <w:rsid w:val="0B015792"/>
    <w:rsid w:val="17CA4F5C"/>
    <w:rsid w:val="1F1C2409"/>
    <w:rsid w:val="283D0D09"/>
    <w:rsid w:val="2BB611CA"/>
    <w:rsid w:val="37BE6299"/>
    <w:rsid w:val="3B46511A"/>
    <w:rsid w:val="3B9A4359"/>
    <w:rsid w:val="3F066067"/>
    <w:rsid w:val="3F78347B"/>
    <w:rsid w:val="49F6347E"/>
    <w:rsid w:val="4A930667"/>
    <w:rsid w:val="4AE8732D"/>
    <w:rsid w:val="56A77961"/>
    <w:rsid w:val="5BBC74AB"/>
    <w:rsid w:val="5DF40710"/>
    <w:rsid w:val="61E06B49"/>
    <w:rsid w:val="6511793B"/>
    <w:rsid w:val="65F13F4D"/>
    <w:rsid w:val="6C823580"/>
    <w:rsid w:val="71654CDD"/>
    <w:rsid w:val="7FBD61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2">
    <w:name w:val="Default Paragraph Font"/>
    <w:qFormat/>
    <w:uiPriority w:val="0"/>
  </w:style>
  <w:style w:type="table" w:default="1" w:styleId="10">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5"/>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20"/>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cs="Times New Roman"/>
      <w:b/>
      <w:bCs/>
    </w:rPr>
  </w:style>
  <w:style w:type="character" w:styleId="14">
    <w:name w:val="FollowedHyperlink"/>
    <w:basedOn w:val="15"/>
    <w:qFormat/>
    <w:uiPriority w:val="0"/>
    <w:rPr>
      <w:color w:val="800080"/>
      <w:u w:val="single"/>
    </w:rPr>
  </w:style>
  <w:style w:type="character" w:customStyle="1" w:styleId="15">
    <w:name w:val="NormalCharacter"/>
    <w:qFormat/>
    <w:uiPriority w:val="0"/>
  </w:style>
  <w:style w:type="character" w:styleId="16">
    <w:name w:val="Hyperlink"/>
    <w:basedOn w:val="15"/>
    <w:qFormat/>
    <w:uiPriority w:val="0"/>
    <w:rPr>
      <w:color w:val="0000FF"/>
      <w:u w:val="single"/>
    </w:rPr>
  </w:style>
  <w:style w:type="paragraph" w:customStyle="1" w:styleId="17">
    <w:name w:val="BodyText"/>
    <w:basedOn w:val="1"/>
    <w:next w:val="1"/>
    <w:link w:val="33"/>
    <w:qFormat/>
    <w:uiPriority w:val="0"/>
    <w:pPr>
      <w:spacing w:after="120"/>
      <w:jc w:val="both"/>
      <w:textAlignment w:val="baseline"/>
    </w:pPr>
    <w:rPr>
      <w:kern w:val="2"/>
      <w:sz w:val="21"/>
      <w:szCs w:val="24"/>
      <w:lang w:val="en-US" w:eastAsia="zh-CN" w:bidi="ar-SA"/>
    </w:rPr>
  </w:style>
  <w:style w:type="paragraph" w:customStyle="1" w:styleId="18">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9">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0">
    <w:name w:val="UserStyle_0"/>
    <w:link w:val="7"/>
    <w:qFormat/>
    <w:uiPriority w:val="0"/>
    <w:rPr>
      <w:kern w:val="2"/>
      <w:sz w:val="18"/>
      <w:szCs w:val="18"/>
    </w:rPr>
  </w:style>
  <w:style w:type="character" w:customStyle="1" w:styleId="21">
    <w:name w:val="UserStyle_1"/>
    <w:basedOn w:val="15"/>
    <w:qFormat/>
    <w:uiPriority w:val="0"/>
    <w:rPr>
      <w:kern w:val="2"/>
      <w:sz w:val="18"/>
      <w:szCs w:val="18"/>
    </w:rPr>
  </w:style>
  <w:style w:type="character" w:customStyle="1" w:styleId="22">
    <w:name w:val="UserStyle_2"/>
    <w:basedOn w:val="15"/>
    <w:qFormat/>
    <w:uiPriority w:val="0"/>
    <w:rPr>
      <w:kern w:val="2"/>
      <w:sz w:val="21"/>
      <w:szCs w:val="24"/>
    </w:rPr>
  </w:style>
  <w:style w:type="character" w:customStyle="1" w:styleId="23">
    <w:name w:val="UserStyle_3"/>
    <w:link w:val="24"/>
    <w:qFormat/>
    <w:uiPriority w:val="0"/>
    <w:rPr>
      <w:rFonts w:ascii="宋体" w:hAnsi="Courier New" w:eastAsia="宋体"/>
      <w:kern w:val="2"/>
      <w:sz w:val="21"/>
      <w:szCs w:val="21"/>
    </w:rPr>
  </w:style>
  <w:style w:type="paragraph" w:customStyle="1" w:styleId="24">
    <w:name w:val="PlainText"/>
    <w:basedOn w:val="1"/>
    <w:link w:val="23"/>
    <w:qFormat/>
    <w:uiPriority w:val="0"/>
    <w:pPr>
      <w:jc w:val="both"/>
      <w:textAlignment w:val="baseline"/>
    </w:pPr>
    <w:rPr>
      <w:rFonts w:ascii="宋体" w:hAnsi="Courier New"/>
      <w:kern w:val="2"/>
      <w:sz w:val="21"/>
      <w:szCs w:val="21"/>
      <w:lang w:val="en-US" w:eastAsia="zh-CN" w:bidi="ar-SA"/>
    </w:rPr>
  </w:style>
  <w:style w:type="character" w:customStyle="1" w:styleId="25">
    <w:name w:val="UserStyle_4"/>
    <w:basedOn w:val="15"/>
    <w:link w:val="4"/>
    <w:qFormat/>
    <w:uiPriority w:val="0"/>
  </w:style>
  <w:style w:type="character" w:customStyle="1" w:styleId="26">
    <w:name w:val="UserStyle_5"/>
    <w:basedOn w:val="15"/>
    <w:qFormat/>
    <w:uiPriority w:val="0"/>
    <w:rPr>
      <w:kern w:val="2"/>
      <w:sz w:val="18"/>
      <w:szCs w:val="18"/>
    </w:rPr>
  </w:style>
  <w:style w:type="character" w:customStyle="1" w:styleId="27">
    <w:name w:val="UserStyle_6"/>
    <w:basedOn w:val="15"/>
    <w:qFormat/>
    <w:uiPriority w:val="0"/>
  </w:style>
  <w:style w:type="character" w:customStyle="1" w:styleId="28">
    <w:name w:val="UserStyle_7"/>
    <w:link w:val="29"/>
    <w:qFormat/>
    <w:uiPriority w:val="0"/>
    <w:rPr>
      <w:rFonts w:ascii="Calibri" w:hAnsi="Calibri" w:eastAsia="宋体"/>
      <w:kern w:val="2"/>
      <w:sz w:val="21"/>
      <w:szCs w:val="22"/>
    </w:rPr>
  </w:style>
  <w:style w:type="paragraph" w:customStyle="1" w:styleId="29">
    <w:name w:val="179"/>
    <w:basedOn w:val="1"/>
    <w:link w:val="28"/>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0">
    <w:name w:val="UserStyle_8"/>
    <w:link w:val="31"/>
    <w:qFormat/>
    <w:uiPriority w:val="0"/>
    <w:rPr>
      <w:kern w:val="2"/>
      <w:sz w:val="18"/>
      <w:szCs w:val="18"/>
    </w:rPr>
  </w:style>
  <w:style w:type="paragraph" w:customStyle="1" w:styleId="31">
    <w:name w:val="Acetate"/>
    <w:basedOn w:val="1"/>
    <w:link w:val="30"/>
    <w:qFormat/>
    <w:uiPriority w:val="0"/>
    <w:pPr>
      <w:jc w:val="both"/>
      <w:textAlignment w:val="baseline"/>
    </w:pPr>
    <w:rPr>
      <w:kern w:val="2"/>
      <w:sz w:val="18"/>
      <w:szCs w:val="18"/>
      <w:lang w:val="en-US" w:eastAsia="zh-CN" w:bidi="ar-SA"/>
    </w:rPr>
  </w:style>
  <w:style w:type="character" w:customStyle="1" w:styleId="32">
    <w:name w:val="UserStyle_9"/>
    <w:link w:val="6"/>
    <w:qFormat/>
    <w:uiPriority w:val="0"/>
    <w:rPr>
      <w:kern w:val="2"/>
      <w:sz w:val="18"/>
      <w:szCs w:val="18"/>
    </w:rPr>
  </w:style>
  <w:style w:type="character" w:customStyle="1" w:styleId="33">
    <w:name w:val="UserStyle_10"/>
    <w:link w:val="17"/>
    <w:qFormat/>
    <w:uiPriority w:val="0"/>
    <w:rPr>
      <w:rFonts w:ascii="Times New Roman" w:hAnsi="Times New Roman"/>
      <w:kern w:val="2"/>
      <w:sz w:val="21"/>
      <w:szCs w:val="24"/>
    </w:rPr>
  </w:style>
  <w:style w:type="character" w:customStyle="1" w:styleId="34">
    <w:name w:val="UserStyle_11"/>
    <w:qFormat/>
    <w:uiPriority w:val="0"/>
  </w:style>
  <w:style w:type="paragraph" w:customStyle="1" w:styleId="35">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6">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7">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9">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0">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1">
    <w:name w:val="样式 首行缩进:  2 字符"/>
    <w:basedOn w:val="1"/>
    <w:qFormat/>
    <w:uiPriority w:val="0"/>
    <w:pPr>
      <w:spacing w:line="400" w:lineRule="exact"/>
      <w:ind w:firstLine="200" w:firstLineChars="200"/>
    </w:pPr>
    <w:rPr>
      <w:sz w:val="24"/>
    </w:rPr>
  </w:style>
  <w:style w:type="paragraph" w:customStyle="1" w:styleId="42">
    <w:name w:val="_正文段落"/>
    <w:basedOn w:val="1"/>
    <w:qFormat/>
    <w:uiPriority w:val="0"/>
    <w:pPr>
      <w:spacing w:beforeLines="15" w:afterLines="15" w:line="360" w:lineRule="auto"/>
      <w:ind w:firstLine="200" w:firstLineChars="200"/>
    </w:pPr>
    <w:rPr>
      <w:rFonts w:ascii="宋体" w:eastAsia="仿宋_GB2312"/>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5300</Words>
  <Characters>5675</Characters>
  <Paragraphs>164</Paragraphs>
  <TotalTime>33</TotalTime>
  <ScaleCrop>false</ScaleCrop>
  <LinksUpToDate>false</LinksUpToDate>
  <CharactersWithSpaces>6222</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dcterms:modified xsi:type="dcterms:W3CDTF">2024-08-30T12:03:25Z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A64F402C96E84A149485826B05953174_13</vt:lpwstr>
  </property>
</Properties>
</file>