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  <w:bookmarkStart w:id="0" w:name="_GoBack"/>
      <w:bookmarkEnd w:id="0"/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eastAsia" w:ascii="方正仿宋简体" w:hAnsi="方正仿宋简体" w:eastAsia="方正仿宋简体" w:cs="方正仿宋简体"/>
          <w:color w:val="000000"/>
          <w:kern w:val="2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40" w:lineRule="exact"/>
        <w:ind w:left="0" w:right="0"/>
        <w:jc w:val="center"/>
        <w:textAlignment w:val="baseline"/>
        <w:rPr>
          <w:rStyle w:val="9"/>
          <w:rFonts w:hint="default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</w:pPr>
      <w:r>
        <w:rPr>
          <w:rStyle w:val="9"/>
          <w:rFonts w:hint="default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泸州泸盼酒店一、二楼餐厅灯具采购项目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40" w:lineRule="exact"/>
        <w:ind w:left="0" w:right="0"/>
        <w:jc w:val="center"/>
        <w:textAlignment w:val="baseline"/>
        <w:rPr>
          <w:rStyle w:val="9"/>
          <w:rFonts w:hint="default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</w:pPr>
      <w:r>
        <w:rPr>
          <w:rStyle w:val="9"/>
          <w:rFonts w:hint="default" w:ascii="宋体" w:hAnsi="宋体" w:eastAsia="宋体" w:cs="宋体"/>
          <w:b/>
          <w:bCs w:val="0"/>
          <w:color w:val="000000"/>
          <w:kern w:val="2"/>
          <w:sz w:val="44"/>
          <w:szCs w:val="44"/>
          <w:lang w:val="en-US" w:eastAsia="zh-CN" w:bidi="ar"/>
        </w:rPr>
        <w:t>综合评标评分表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eastAsia="宋体" w:cs="Times New Roman"/>
          <w:color w:val="000000"/>
          <w:kern w:val="2"/>
          <w:sz w:val="21"/>
          <w:szCs w:val="21"/>
        </w:rPr>
      </w:pPr>
    </w:p>
    <w:tbl>
      <w:tblPr>
        <w:tblStyle w:val="5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187"/>
        <w:gridCol w:w="936"/>
        <w:gridCol w:w="5431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评分因素及权重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分　值</w:t>
            </w:r>
          </w:p>
        </w:tc>
        <w:tc>
          <w:tcPr>
            <w:tcW w:w="5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评分标准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报价30%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30分</w:t>
            </w:r>
          </w:p>
        </w:tc>
        <w:tc>
          <w:tcPr>
            <w:tcW w:w="54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hAnsi="宋体" w:cs="宋体"/>
                <w:sz w:val="22"/>
              </w:rPr>
            </w:pPr>
            <w:r>
              <w:rPr>
                <w:rFonts w:hint="default" w:hAnsi="宋体" w:cs="宋体"/>
                <w:sz w:val="22"/>
              </w:rPr>
              <w:t>满足磋商文件要求且</w:t>
            </w:r>
            <w:r>
              <w:rPr>
                <w:rFonts w:hint="eastAsia" w:hAnsi="宋体" w:cs="宋体"/>
                <w:sz w:val="22"/>
              </w:rPr>
              <w:t>最终</w:t>
            </w:r>
            <w:r>
              <w:rPr>
                <w:rFonts w:hint="default" w:hAnsi="宋体" w:cs="宋体"/>
                <w:sz w:val="22"/>
              </w:rPr>
              <w:t>报价最低的报价为基准价，其价格分为满分。其他供应商的价格分统一按照下列公式计算：报价得分=(基准价／</w:t>
            </w:r>
            <w:r>
              <w:rPr>
                <w:rFonts w:hint="eastAsia" w:hAnsi="宋体" w:cs="宋体"/>
                <w:sz w:val="22"/>
              </w:rPr>
              <w:t>最终</w:t>
            </w:r>
            <w:r>
              <w:rPr>
                <w:rFonts w:hint="default" w:hAnsi="宋体" w:cs="宋体"/>
                <w:sz w:val="22"/>
              </w:rPr>
              <w:t>报价)×30%×100。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共同类评审因素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技术参数23%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23分</w:t>
            </w:r>
          </w:p>
        </w:tc>
        <w:tc>
          <w:tcPr>
            <w:tcW w:w="543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采购清单内容共有23项产品</w:t>
            </w:r>
            <w:r>
              <w:rPr>
                <w:rFonts w:hint="default" w:hAnsi="宋体" w:cs="宋体"/>
                <w:sz w:val="22"/>
              </w:rPr>
              <w:t>，有一项不符合要求的扣</w:t>
            </w:r>
            <w:r>
              <w:rPr>
                <w:rFonts w:hint="eastAsia" w:hAnsi="宋体" w:cs="宋体"/>
                <w:sz w:val="22"/>
              </w:rPr>
              <w:t>1</w:t>
            </w:r>
            <w:r>
              <w:rPr>
                <w:rFonts w:hint="default" w:hAnsi="宋体" w:cs="宋体"/>
                <w:sz w:val="22"/>
              </w:rPr>
              <w:t>分，合计</w:t>
            </w:r>
            <w:r>
              <w:rPr>
                <w:rFonts w:hint="eastAsia" w:hAnsi="宋体" w:cs="宋体"/>
                <w:sz w:val="22"/>
              </w:rPr>
              <w:t>23</w:t>
            </w:r>
            <w:r>
              <w:rPr>
                <w:rFonts w:hint="default" w:hAnsi="宋体" w:cs="宋体"/>
                <w:sz w:val="22"/>
              </w:rPr>
              <w:t xml:space="preserve">分，本项扣完为止。 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共同类评审因素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3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105" w:rightChars="50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kern w:val="1"/>
                <w:sz w:val="22"/>
              </w:rPr>
              <w:t>实施方案</w:t>
            </w:r>
            <w:r>
              <w:rPr>
                <w:rFonts w:hint="eastAsia" w:hAnsi="宋体" w:cs="宋体"/>
                <w:sz w:val="22"/>
              </w:rPr>
              <w:t>21%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21分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hAnsi="宋体" w:cs="宋体"/>
                <w:sz w:val="22"/>
              </w:rPr>
            </w:pPr>
            <w:r>
              <w:rPr>
                <w:rFonts w:hint="default" w:hAnsi="宋体" w:cs="宋体"/>
                <w:sz w:val="22"/>
              </w:rPr>
              <w:t>根据投标人提供的具体实施方案进行评审：根据投标人项目实施中的①生产组织计划，②供货方案、③质量保证措施、④工期保障方案等，提供的实施方案合理、针对性强，计划组织目标明确，分析到位得</w:t>
            </w:r>
            <w:r>
              <w:rPr>
                <w:rFonts w:hint="eastAsia" w:hAnsi="宋体" w:cs="宋体"/>
                <w:sz w:val="22"/>
              </w:rPr>
              <w:t>16</w:t>
            </w:r>
            <w:r>
              <w:rPr>
                <w:rFonts w:hint="default" w:hAnsi="宋体" w:cs="宋体"/>
                <w:sz w:val="22"/>
              </w:rPr>
              <w:t>分，每有一项方案有缺陷的扣</w:t>
            </w:r>
            <w:r>
              <w:rPr>
                <w:rFonts w:hint="eastAsia" w:hAnsi="宋体" w:cs="宋体"/>
                <w:sz w:val="22"/>
              </w:rPr>
              <w:t>2</w:t>
            </w:r>
            <w:r>
              <w:rPr>
                <w:rFonts w:hint="default" w:hAnsi="宋体" w:cs="宋体"/>
                <w:sz w:val="22"/>
              </w:rPr>
              <w:t xml:space="preserve">分，未提供的扣 </w:t>
            </w:r>
            <w:r>
              <w:rPr>
                <w:rFonts w:hint="eastAsia" w:hAnsi="宋体" w:cs="宋体"/>
                <w:sz w:val="22"/>
              </w:rPr>
              <w:t>4</w:t>
            </w:r>
            <w:r>
              <w:rPr>
                <w:rFonts w:hint="default" w:hAnsi="宋体" w:cs="宋体"/>
                <w:sz w:val="22"/>
              </w:rPr>
              <w:t xml:space="preserve"> 分，扣完为止。（缺陷是指不完全适用项目实际情况的情形、凭空编造、逻辑漏洞、科学原理错误、常识性错误以及不可能实现的夸大情形等。不具针对性、不能完全满足是指与本项目实际不相符合。）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技术类评审因素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105" w:rightChars="50"/>
              <w:jc w:val="center"/>
              <w:rPr>
                <w:rFonts w:hint="default" w:hAnsi="宋体" w:cs="宋体"/>
                <w:kern w:val="1"/>
                <w:sz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样品15%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15分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hAnsi="宋体" w:cs="宋体"/>
                <w:sz w:val="22"/>
              </w:rPr>
            </w:pPr>
            <w:r>
              <w:rPr>
                <w:rFonts w:hint="default" w:hAnsi="宋体" w:cs="宋体"/>
                <w:sz w:val="22"/>
              </w:rPr>
              <w:t xml:space="preserve">根据供应商递交的样品，从样品的外观及工艺、质量、实际尺寸、厚度等方面采用外观检查法、测量法等方法进行综合评审。（10 分）1. </w:t>
            </w:r>
            <w:r>
              <w:rPr>
                <w:rFonts w:hint="eastAsia" w:hAnsi="宋体" w:cs="宋体"/>
                <w:sz w:val="22"/>
              </w:rPr>
              <w:t>所有电器要求均符合3C国家强制认证，电源连接检验方法</w:t>
            </w:r>
            <w:r>
              <w:rPr>
                <w:rFonts w:hint="default" w:hAnsi="宋体" w:cs="宋体"/>
                <w:sz w:val="22"/>
              </w:rPr>
              <w:t>GB7000.1-2015。（</w:t>
            </w:r>
            <w:r>
              <w:rPr>
                <w:rFonts w:hint="eastAsia" w:hAnsi="宋体" w:cs="宋体"/>
                <w:sz w:val="22"/>
              </w:rPr>
              <w:t>2.5</w:t>
            </w:r>
            <w:r>
              <w:rPr>
                <w:rFonts w:hint="default" w:hAnsi="宋体" w:cs="宋体"/>
                <w:sz w:val="22"/>
              </w:rPr>
              <w:t>分）；</w:t>
            </w:r>
            <w:r>
              <w:rPr>
                <w:rFonts w:hint="eastAsia" w:hAnsi="宋体" w:cs="宋体"/>
                <w:sz w:val="22"/>
              </w:rPr>
              <w:t>台灯角度测试标准12度，落地灯角度测试标准8度。</w:t>
            </w:r>
            <w:r>
              <w:rPr>
                <w:rFonts w:hint="default" w:hAnsi="宋体" w:cs="宋体"/>
                <w:sz w:val="22"/>
              </w:rPr>
              <w:t>（</w:t>
            </w:r>
            <w:r>
              <w:rPr>
                <w:rFonts w:hint="eastAsia" w:hAnsi="宋体" w:cs="宋体"/>
                <w:sz w:val="22"/>
              </w:rPr>
              <w:t>2.5</w:t>
            </w:r>
            <w:r>
              <w:rPr>
                <w:rFonts w:hint="default" w:hAnsi="宋体" w:cs="宋体"/>
                <w:sz w:val="22"/>
              </w:rPr>
              <w:t>分）；</w:t>
            </w:r>
            <w:r>
              <w:rPr>
                <w:rFonts w:hint="eastAsia" w:hAnsi="宋体" w:cs="宋体"/>
                <w:sz w:val="22"/>
              </w:rPr>
              <w:t>户外灯均采用304不锈钢，表面做耐腐蚀电镀工艺确保钢材表面防水，防潮和防腐蚀。</w:t>
            </w:r>
            <w:r>
              <w:rPr>
                <w:rFonts w:hint="default" w:hAnsi="宋体" w:cs="宋体"/>
                <w:sz w:val="22"/>
              </w:rPr>
              <w:t>（</w:t>
            </w:r>
            <w:r>
              <w:rPr>
                <w:rFonts w:hint="eastAsia" w:hAnsi="宋体" w:cs="宋体"/>
                <w:sz w:val="22"/>
              </w:rPr>
              <w:t>2.5</w:t>
            </w:r>
            <w:r>
              <w:rPr>
                <w:rFonts w:hint="default" w:hAnsi="宋体" w:cs="宋体"/>
                <w:sz w:val="22"/>
              </w:rPr>
              <w:t>分）；</w:t>
            </w:r>
            <w:r>
              <w:rPr>
                <w:rFonts w:hint="eastAsia" w:hAnsi="宋体" w:cs="宋体"/>
                <w:sz w:val="22"/>
              </w:rPr>
              <w:t>产普通轻型吊灯安装结构承重大于灯体本色重量的2倍，重型吊灯安装结构必须连接楼层钢梁架构或者龙骨加固</w:t>
            </w:r>
            <w:r>
              <w:rPr>
                <w:rFonts w:hint="default" w:hAnsi="宋体" w:cs="宋体"/>
                <w:sz w:val="22"/>
              </w:rPr>
              <w:t>（</w:t>
            </w:r>
            <w:r>
              <w:rPr>
                <w:rFonts w:hint="eastAsia" w:hAnsi="宋体" w:cs="宋体"/>
                <w:sz w:val="22"/>
              </w:rPr>
              <w:t>2.5</w:t>
            </w:r>
            <w:r>
              <w:rPr>
                <w:rFonts w:hint="default" w:hAnsi="宋体" w:cs="宋体"/>
                <w:sz w:val="22"/>
              </w:rPr>
              <w:t>分）。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hAnsi="宋体" w:cs="宋体"/>
                <w:sz w:val="22"/>
              </w:rPr>
            </w:pPr>
            <w:r>
              <w:rPr>
                <w:rFonts w:hint="default" w:hAnsi="宋体" w:cs="宋体"/>
                <w:sz w:val="22"/>
              </w:rPr>
              <w:t>2. 少送样品的、错送样品的、不附合采购需求的、非盲样的不得分。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共同类评审因素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5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kern w:val="1"/>
                <w:sz w:val="22"/>
              </w:rPr>
              <w:t>售后服务方案</w:t>
            </w:r>
            <w:r>
              <w:rPr>
                <w:rFonts w:hint="eastAsia" w:hAnsi="宋体" w:cs="宋体"/>
                <w:sz w:val="22"/>
              </w:rPr>
              <w:t>8%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8分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hAnsi="宋体" w:cs="宋体"/>
                <w:sz w:val="22"/>
              </w:rPr>
            </w:pPr>
            <w:r>
              <w:rPr>
                <w:rFonts w:hint="default" w:hAnsi="宋体" w:cs="宋体"/>
                <w:sz w:val="22"/>
              </w:rPr>
              <w:t>1、根据投标人售后服务方案中的①服务网点、②售后团队、③售后服务服务响应时间、④应急能力的设置，是否针对性强、符合本项目特点且具有可行性，满足以上要求得</w:t>
            </w:r>
            <w:r>
              <w:rPr>
                <w:rFonts w:hint="eastAsia" w:hAnsi="宋体" w:cs="宋体"/>
                <w:sz w:val="22"/>
              </w:rPr>
              <w:t>8</w:t>
            </w:r>
            <w:r>
              <w:rPr>
                <w:rFonts w:hint="default" w:hAnsi="宋体" w:cs="宋体"/>
                <w:sz w:val="22"/>
              </w:rPr>
              <w:t>分，每有一项有缺陷扣</w:t>
            </w:r>
            <w:r>
              <w:rPr>
                <w:rFonts w:hint="eastAsia" w:hAnsi="宋体" w:cs="宋体"/>
                <w:sz w:val="22"/>
              </w:rPr>
              <w:t>1</w:t>
            </w:r>
            <w:r>
              <w:rPr>
                <w:rFonts w:hint="default" w:hAnsi="宋体" w:cs="宋体"/>
                <w:sz w:val="22"/>
              </w:rPr>
              <w:t>分，未提供的扣</w:t>
            </w:r>
            <w:r>
              <w:rPr>
                <w:rFonts w:hint="eastAsia" w:hAnsi="宋体" w:cs="宋体"/>
                <w:sz w:val="22"/>
              </w:rPr>
              <w:t>2</w:t>
            </w:r>
            <w:r>
              <w:rPr>
                <w:rFonts w:hint="default" w:hAnsi="宋体" w:cs="宋体"/>
                <w:sz w:val="22"/>
              </w:rPr>
              <w:t>分，扣完为止。（缺陷是指不完全适用项目实际情况的情形、凭空编造、逻辑漏洞、科学原理错误、常识性错误以及不可能实现的夸大情形等。不具针对性、不能完全满足是指与本项目实际不相符合。）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技术类评审因素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6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 w:cs="宋体"/>
                <w:kern w:val="1"/>
                <w:sz w:val="22"/>
              </w:rPr>
            </w:pPr>
            <w:r>
              <w:rPr>
                <w:rFonts w:hint="eastAsia" w:hAnsi="宋体" w:cs="宋体"/>
                <w:kern w:val="1"/>
                <w:sz w:val="22"/>
              </w:rPr>
              <w:t>履约能力3%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8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3分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hAnsi="宋体" w:cs="宋体"/>
                <w:sz w:val="22"/>
              </w:rPr>
            </w:pPr>
            <w:r>
              <w:rPr>
                <w:rFonts w:hint="default" w:hAnsi="宋体" w:cs="宋体"/>
                <w:sz w:val="22"/>
              </w:rPr>
              <w:t xml:space="preserve">投标人 </w:t>
            </w:r>
            <w:r>
              <w:rPr>
                <w:rFonts w:hint="eastAsia" w:hAnsi="宋体" w:cs="宋体"/>
                <w:sz w:val="22"/>
              </w:rPr>
              <w:t>2021</w:t>
            </w:r>
            <w:r>
              <w:rPr>
                <w:rFonts w:hint="default" w:hAnsi="宋体" w:cs="宋体"/>
                <w:sz w:val="22"/>
              </w:rPr>
              <w:t xml:space="preserve"> 年以来具有类似业绩每提供1个得</w:t>
            </w:r>
            <w:r>
              <w:rPr>
                <w:rFonts w:hint="eastAsia" w:hAnsi="宋体" w:cs="宋体"/>
                <w:sz w:val="22"/>
              </w:rPr>
              <w:t>1.5</w:t>
            </w:r>
            <w:r>
              <w:rPr>
                <w:rFonts w:hint="default" w:hAnsi="宋体" w:cs="宋体"/>
                <w:sz w:val="22"/>
              </w:rPr>
              <w:t>分，最多得</w:t>
            </w:r>
            <w:r>
              <w:rPr>
                <w:rFonts w:hint="eastAsia" w:hAnsi="宋体" w:cs="宋体"/>
                <w:sz w:val="22"/>
              </w:rPr>
              <w:t>3</w:t>
            </w:r>
            <w:r>
              <w:rPr>
                <w:rFonts w:hint="default" w:hAnsi="宋体" w:cs="宋体"/>
                <w:sz w:val="22"/>
              </w:rPr>
              <w:t>分；没有不得分。（提供中标通知书或合同复印件）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 w:cs="宋体"/>
                <w:sz w:val="22"/>
              </w:rPr>
            </w:pPr>
            <w:r>
              <w:rPr>
                <w:rFonts w:hint="eastAsia" w:hAnsi="宋体" w:cs="宋体"/>
                <w:sz w:val="22"/>
              </w:rPr>
              <w:t>共同类评审因素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GUxMmM5YjE4ZjBiY2E5MmE5MDIwNDcyYjI3NDQifQ=="/>
  </w:docVars>
  <w:rsids>
    <w:rsidRoot w:val="00000000"/>
    <w:rsid w:val="02A0296E"/>
    <w:rsid w:val="1D0D18BF"/>
    <w:rsid w:val="2FE60EA8"/>
    <w:rsid w:val="43F514C2"/>
    <w:rsid w:val="5B955D77"/>
    <w:rsid w:val="6E63119A"/>
    <w:rsid w:val="6F044429"/>
    <w:rsid w:val="7C18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20" w:afterAutospacing="0"/>
      <w:jc w:val="both"/>
      <w:textAlignment w:val="baseline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4">
    <w:name w:val="toc 9"/>
    <w:basedOn w:val="1"/>
    <w:next w:val="1"/>
    <w:qFormat/>
    <w:uiPriority w:val="0"/>
    <w:pPr>
      <w:ind w:left="3360" w:leftChars="1600"/>
      <w:jc w:val="both"/>
      <w:textAlignment w:val="baseline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table" w:styleId="6">
    <w:name w:val="Table Grid"/>
    <w:basedOn w:val="5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8">
    <w:name w:val="BodyText"/>
    <w:basedOn w:val="1"/>
    <w:qFormat/>
    <w:uiPriority w:val="0"/>
    <w:pPr>
      <w:spacing w:after="120" w:afterAutospacing="0"/>
      <w:jc w:val="both"/>
      <w:textAlignment w:val="baseline"/>
    </w:pPr>
    <w:rPr>
      <w:rFonts w:hint="default" w:ascii="Book Antiqua" w:hAnsi="Book Antiqua" w:eastAsia="隶书" w:cs="Times New Roman"/>
      <w:color w:val="CCCCFF"/>
      <w:kern w:val="2"/>
      <w:sz w:val="72"/>
      <w:szCs w:val="72"/>
      <w:u w:val="single"/>
      <w:lang w:val="en-US" w:eastAsia="zh-CN" w:bidi="ar"/>
    </w:rPr>
  </w:style>
  <w:style w:type="character" w:customStyle="1" w:styleId="9">
    <w:name w:val="15"/>
    <w:basedOn w:val="7"/>
    <w:qFormat/>
    <w:uiPriority w:val="0"/>
    <w:rPr>
      <w:rFonts w:hint="default" w:ascii="Times New Roman" w:hAnsi="Times New Roman" w:cs="Times New Roman"/>
    </w:rPr>
  </w:style>
  <w:style w:type="paragraph" w:customStyle="1" w:styleId="10">
    <w:name w:val="UserStyle_5"/>
    <w:basedOn w:val="1"/>
    <w:qFormat/>
    <w:uiPriority w:val="0"/>
    <w:pPr>
      <w:spacing w:before="200" w:beforeAutospacing="0" w:after="160" w:afterAutospacing="0"/>
      <w:ind w:left="864" w:right="864"/>
      <w:jc w:val="center"/>
      <w:textAlignment w:val="baseline"/>
    </w:pPr>
    <w:rPr>
      <w:rFonts w:hint="default" w:ascii="Calibri" w:hAnsi="Calibri" w:eastAsia="宋体" w:cs="Times New Roman"/>
      <w:kern w:val="0"/>
      <w:sz w:val="21"/>
      <w:szCs w:val="21"/>
      <w:lang w:val="en-US" w:eastAsia="zh-CN" w:bidi="ar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2508</Words>
  <Characters>2735</Characters>
  <Lines>0</Lines>
  <Paragraphs>0</Paragraphs>
  <TotalTime>7</TotalTime>
  <ScaleCrop>false</ScaleCrop>
  <LinksUpToDate>false</LinksUpToDate>
  <CharactersWithSpaces>3057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2024-06-21T07:09:00Z</dcterms:created>
  <dc:creator>ROG</dc:creator>
  <cp:lastModifiedBy>Administrator</cp:lastModifiedBy>
  <dcterms:modified xsi:type="dcterms:W3CDTF">2024-06-21T07:59:04Z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1B7FF0784CCA447EAEEFEDFAF255154F_12</vt:lpwstr>
  </property>
</Properties>
</file>